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1E" w:rsidRPr="003E27AE" w:rsidRDefault="00077F1E" w:rsidP="003E27AE">
      <w:pPr>
        <w:rPr>
          <w:rFonts w:cs="Arial"/>
          <w:sz w:val="24"/>
          <w:szCs w:val="24"/>
        </w:rPr>
      </w:pPr>
    </w:p>
    <w:p w:rsidR="00077F1E" w:rsidRPr="003E27AE" w:rsidRDefault="00077F1E" w:rsidP="003E27AE">
      <w:pPr>
        <w:rPr>
          <w:rFonts w:cs="Arial"/>
          <w:sz w:val="24"/>
          <w:szCs w:val="24"/>
        </w:rPr>
      </w:pPr>
    </w:p>
    <w:p w:rsidR="00077F1E" w:rsidRPr="003E27AE" w:rsidRDefault="00773A7D" w:rsidP="003E27AE">
      <w:pPr>
        <w:jc w:val="center"/>
        <w:rPr>
          <w:rFonts w:cs="Arial"/>
          <w:b/>
          <w:sz w:val="24"/>
          <w:szCs w:val="24"/>
        </w:rPr>
      </w:pPr>
      <w:bookmarkStart w:id="0" w:name="_GoBack"/>
      <w:r w:rsidRPr="003E27AE">
        <w:rPr>
          <w:rFonts w:cs="Arial"/>
          <w:b/>
          <w:sz w:val="24"/>
          <w:szCs w:val="24"/>
        </w:rPr>
        <w:t>ESCRITO SOLICITANDO PROVISION DE FONDOS</w:t>
      </w:r>
      <w:bookmarkEnd w:id="0"/>
    </w:p>
    <w:p w:rsidR="00077F1E" w:rsidRPr="003E27AE" w:rsidRDefault="00077F1E" w:rsidP="003E27AE">
      <w:pPr>
        <w:rPr>
          <w:rFonts w:cs="Arial"/>
          <w:sz w:val="24"/>
          <w:szCs w:val="24"/>
        </w:rPr>
      </w:pPr>
    </w:p>
    <w:p w:rsidR="00077F1E" w:rsidRPr="003E27AE" w:rsidRDefault="00077F1E" w:rsidP="003E27AE">
      <w:pPr>
        <w:rPr>
          <w:rFonts w:cs="Arial"/>
          <w:sz w:val="24"/>
          <w:szCs w:val="24"/>
        </w:rPr>
      </w:pPr>
    </w:p>
    <w:p w:rsidR="00077F1E" w:rsidRDefault="00077F1E" w:rsidP="003E27AE">
      <w:pPr>
        <w:rPr>
          <w:rFonts w:cs="Arial"/>
          <w:sz w:val="24"/>
          <w:szCs w:val="24"/>
        </w:rPr>
      </w:pPr>
      <w:r w:rsidRPr="003E27AE">
        <w:rPr>
          <w:rFonts w:cs="Arial"/>
          <w:sz w:val="24"/>
          <w:szCs w:val="24"/>
        </w:rPr>
        <w:t>Juzgado</w:t>
      </w:r>
      <w:r w:rsidR="003E27AE">
        <w:rPr>
          <w:rFonts w:cs="Arial"/>
          <w:sz w:val="24"/>
          <w:szCs w:val="24"/>
        </w:rPr>
        <w:t xml:space="preserve">: </w:t>
      </w:r>
      <w:r w:rsidRPr="003E27AE">
        <w:rPr>
          <w:rFonts w:cs="Arial"/>
          <w:sz w:val="24"/>
          <w:szCs w:val="24"/>
        </w:rPr>
        <w:t>...............</w:t>
      </w:r>
    </w:p>
    <w:p w:rsidR="00077F1E" w:rsidRDefault="00077F1E" w:rsidP="003E27AE">
      <w:pPr>
        <w:rPr>
          <w:rFonts w:cs="Arial"/>
          <w:sz w:val="24"/>
          <w:szCs w:val="24"/>
        </w:rPr>
      </w:pPr>
      <w:r w:rsidRPr="003E27AE">
        <w:rPr>
          <w:rFonts w:cs="Arial"/>
          <w:sz w:val="24"/>
          <w:szCs w:val="24"/>
        </w:rPr>
        <w:t>Procedimiento: ..................................</w:t>
      </w:r>
    </w:p>
    <w:p w:rsidR="003E27AE" w:rsidRDefault="003E27AE" w:rsidP="003E27AE">
      <w:pPr>
        <w:rPr>
          <w:rFonts w:cs="Arial"/>
          <w:sz w:val="24"/>
          <w:szCs w:val="24"/>
        </w:rPr>
      </w:pPr>
    </w:p>
    <w:p w:rsidR="003E27AE" w:rsidRDefault="003E27AE" w:rsidP="003E27AE">
      <w:pPr>
        <w:rPr>
          <w:rFonts w:cs="Arial"/>
          <w:sz w:val="24"/>
          <w:szCs w:val="24"/>
        </w:rPr>
      </w:pPr>
    </w:p>
    <w:p w:rsidR="00077F1E" w:rsidRPr="003E27AE" w:rsidRDefault="00077F1E" w:rsidP="003E27AE">
      <w:pPr>
        <w:jc w:val="center"/>
        <w:rPr>
          <w:rFonts w:cs="Arial"/>
          <w:sz w:val="24"/>
          <w:szCs w:val="24"/>
        </w:rPr>
      </w:pPr>
      <w:r w:rsidRPr="003E27AE">
        <w:rPr>
          <w:rFonts w:cs="Arial"/>
          <w:sz w:val="24"/>
          <w:szCs w:val="24"/>
        </w:rPr>
        <w:t>AL JUZGADO</w:t>
      </w:r>
    </w:p>
    <w:p w:rsidR="00077F1E" w:rsidRPr="003E27AE" w:rsidRDefault="00077F1E" w:rsidP="003E27AE">
      <w:pPr>
        <w:jc w:val="center"/>
        <w:rPr>
          <w:rFonts w:cs="Arial"/>
          <w:sz w:val="24"/>
          <w:szCs w:val="24"/>
        </w:rPr>
      </w:pP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D. ......................, con D.N.I. núm.</w:t>
      </w:r>
      <w:r w:rsidR="003E27AE">
        <w:rPr>
          <w:rFonts w:cs="Arial"/>
          <w:sz w:val="24"/>
          <w:szCs w:val="24"/>
        </w:rPr>
        <w:t xml:space="preserve"> </w:t>
      </w:r>
      <w:r w:rsidRPr="003E27AE">
        <w:rPr>
          <w:rFonts w:cs="Arial"/>
          <w:sz w:val="24"/>
          <w:szCs w:val="24"/>
        </w:rPr>
        <w:t>……</w:t>
      </w:r>
      <w:proofErr w:type="gramStart"/>
      <w:r w:rsidRPr="003E27AE">
        <w:rPr>
          <w:rFonts w:cs="Arial"/>
          <w:sz w:val="24"/>
          <w:szCs w:val="24"/>
        </w:rPr>
        <w:t>…….</w:t>
      </w:r>
      <w:proofErr w:type="gramEnd"/>
      <w:r w:rsidRPr="003E27AE">
        <w:rPr>
          <w:rFonts w:cs="Arial"/>
          <w:sz w:val="24"/>
          <w:szCs w:val="24"/>
        </w:rPr>
        <w:t>, con domicilio profesional en ................., ante el juzgado comparece y como mejor procede en derecho DICE:</w:t>
      </w: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I.- Que con fecha ...... se le ha comunicado su designación para realizar un peritaje en los autos arriba referenciados.</w:t>
      </w: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II.- Que</w:t>
      </w:r>
      <w:r w:rsidR="00773A7D" w:rsidRPr="003E27AE">
        <w:rPr>
          <w:rFonts w:cs="Arial"/>
          <w:sz w:val="24"/>
          <w:szCs w:val="24"/>
        </w:rPr>
        <w:t xml:space="preserve"> con fecha ………… acepto la designa para realizar el peritaje.</w:t>
      </w:r>
    </w:p>
    <w:p w:rsidR="00773A7D" w:rsidRPr="003E27AE" w:rsidRDefault="00773A7D" w:rsidP="003E27AE">
      <w:pPr>
        <w:jc w:val="both"/>
        <w:rPr>
          <w:rFonts w:cs="Arial"/>
          <w:sz w:val="24"/>
          <w:szCs w:val="24"/>
        </w:rPr>
      </w:pPr>
    </w:p>
    <w:p w:rsidR="00773A7D" w:rsidRDefault="00773A7D" w:rsidP="003E27AE">
      <w:pPr>
        <w:jc w:val="both"/>
        <w:rPr>
          <w:rFonts w:cs="Arial"/>
          <w:sz w:val="24"/>
          <w:szCs w:val="24"/>
        </w:rPr>
      </w:pPr>
      <w:r w:rsidRPr="003E27AE">
        <w:rPr>
          <w:rFonts w:cs="Arial"/>
          <w:sz w:val="24"/>
          <w:szCs w:val="24"/>
        </w:rPr>
        <w:t xml:space="preserve">III.- </w:t>
      </w:r>
      <w:proofErr w:type="gramStart"/>
      <w:r w:rsidRPr="003E27AE">
        <w:rPr>
          <w:rFonts w:cs="Arial"/>
          <w:sz w:val="24"/>
          <w:szCs w:val="24"/>
        </w:rPr>
        <w:t>Que</w:t>
      </w:r>
      <w:proofErr w:type="gramEnd"/>
      <w:r w:rsidRPr="003E27AE">
        <w:rPr>
          <w:rFonts w:cs="Arial"/>
          <w:sz w:val="24"/>
          <w:szCs w:val="24"/>
        </w:rPr>
        <w:t xml:space="preserve"> dentro de los tres días siguientes al nombramiento y aceptación del cargo, al amparo de lo dispuesto en el artículo 342.3 de la L.E.C. solicito me sean proveídos fondos para la realización del dictamen en la cantidad de …</w:t>
      </w:r>
      <w:r w:rsidR="00D70AAD" w:rsidRPr="003E27AE">
        <w:rPr>
          <w:rFonts w:cs="Arial"/>
          <w:sz w:val="24"/>
          <w:szCs w:val="24"/>
        </w:rPr>
        <w:t>…</w:t>
      </w:r>
      <w:r w:rsidRPr="003E27AE">
        <w:rPr>
          <w:rFonts w:cs="Arial"/>
          <w:sz w:val="24"/>
          <w:szCs w:val="24"/>
        </w:rPr>
        <w:t>…. euros.</w:t>
      </w:r>
    </w:p>
    <w:p w:rsidR="003E27AE" w:rsidRDefault="003E27AE" w:rsidP="003E27AE">
      <w:pPr>
        <w:jc w:val="both"/>
        <w:rPr>
          <w:rFonts w:cs="Arial"/>
          <w:sz w:val="24"/>
          <w:szCs w:val="24"/>
        </w:rPr>
      </w:pPr>
    </w:p>
    <w:p w:rsidR="00773A7D" w:rsidRPr="003E27AE" w:rsidRDefault="00773A7D" w:rsidP="003E27AE">
      <w:pPr>
        <w:jc w:val="both"/>
        <w:rPr>
          <w:rFonts w:cs="Arial"/>
          <w:sz w:val="24"/>
          <w:szCs w:val="24"/>
        </w:rPr>
      </w:pPr>
      <w:r w:rsidRPr="003E27AE">
        <w:rPr>
          <w:rFonts w:cs="Arial"/>
          <w:sz w:val="24"/>
          <w:szCs w:val="24"/>
        </w:rPr>
        <w:t>IV.- Que adjunto a este escrito mi minuta de la provisión de fondos.</w:t>
      </w: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Por ello,</w:t>
      </w: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 xml:space="preserve">AL JUZGADO SUPLICO: Que tengan a bien aceptar este escrito </w:t>
      </w:r>
      <w:r w:rsidR="00773A7D" w:rsidRPr="003E27AE">
        <w:rPr>
          <w:rFonts w:cs="Arial"/>
          <w:sz w:val="24"/>
          <w:szCs w:val="24"/>
        </w:rPr>
        <w:t>y el documento que acompaño y tenga por hechas las manifestaciones de este escrito, apruebe la solicitud de fondos solicitada y acuerde requerir a quien corresponda a fin de que abonen dicha cantidad en el plazo de 5 días.</w:t>
      </w:r>
    </w:p>
    <w:p w:rsidR="00077F1E" w:rsidRPr="003E27AE" w:rsidRDefault="00077F1E" w:rsidP="003E27AE">
      <w:pPr>
        <w:jc w:val="both"/>
        <w:rPr>
          <w:rFonts w:cs="Arial"/>
          <w:sz w:val="24"/>
          <w:szCs w:val="24"/>
        </w:rPr>
      </w:pPr>
    </w:p>
    <w:p w:rsidR="00077F1E" w:rsidRPr="003E27AE" w:rsidRDefault="00077F1E" w:rsidP="003E27AE">
      <w:pPr>
        <w:jc w:val="both"/>
        <w:rPr>
          <w:rFonts w:cs="Arial"/>
          <w:sz w:val="24"/>
          <w:szCs w:val="24"/>
        </w:rPr>
      </w:pPr>
      <w:r w:rsidRPr="003E27AE">
        <w:rPr>
          <w:rFonts w:cs="Arial"/>
          <w:sz w:val="24"/>
          <w:szCs w:val="24"/>
        </w:rPr>
        <w:t>............ a ……………. de 2……</w:t>
      </w:r>
    </w:p>
    <w:p w:rsidR="00077F1E" w:rsidRPr="003E27AE" w:rsidRDefault="00077F1E" w:rsidP="003E27AE">
      <w:pPr>
        <w:jc w:val="both"/>
        <w:rPr>
          <w:rFonts w:cs="Arial"/>
          <w:sz w:val="24"/>
          <w:szCs w:val="24"/>
        </w:rPr>
      </w:pPr>
    </w:p>
    <w:p w:rsidR="00077F1E" w:rsidRPr="003E27AE" w:rsidRDefault="00077F1E" w:rsidP="003E27AE">
      <w:pPr>
        <w:pStyle w:val="Ttulo"/>
        <w:tabs>
          <w:tab w:val="left" w:pos="8105"/>
        </w:tabs>
        <w:jc w:val="both"/>
        <w:rPr>
          <w:b w:val="0"/>
          <w:sz w:val="24"/>
        </w:rPr>
      </w:pPr>
    </w:p>
    <w:p w:rsidR="00077F1E" w:rsidRPr="003E27AE" w:rsidRDefault="00077F1E" w:rsidP="003E27AE">
      <w:pPr>
        <w:pStyle w:val="Ttulo"/>
        <w:tabs>
          <w:tab w:val="left" w:pos="8105"/>
        </w:tabs>
        <w:jc w:val="both"/>
        <w:rPr>
          <w:b w:val="0"/>
          <w:sz w:val="24"/>
        </w:rPr>
      </w:pPr>
    </w:p>
    <w:p w:rsidR="00077F1E" w:rsidRDefault="00077F1E" w:rsidP="003E27AE">
      <w:pPr>
        <w:pStyle w:val="Ttulo"/>
        <w:tabs>
          <w:tab w:val="left" w:pos="8105"/>
        </w:tabs>
        <w:jc w:val="both"/>
        <w:rPr>
          <w:b w:val="0"/>
          <w:sz w:val="24"/>
        </w:rPr>
      </w:pPr>
      <w:r w:rsidRPr="003E27AE">
        <w:rPr>
          <w:b w:val="0"/>
          <w:sz w:val="24"/>
        </w:rPr>
        <w:t>Fdo. ………………</w:t>
      </w:r>
    </w:p>
    <w:p w:rsidR="003E27AE" w:rsidRDefault="003E27AE" w:rsidP="003E27AE">
      <w:pPr>
        <w:pStyle w:val="Ttulo"/>
        <w:tabs>
          <w:tab w:val="left" w:pos="8105"/>
        </w:tabs>
        <w:jc w:val="both"/>
        <w:rPr>
          <w:b w:val="0"/>
          <w:sz w:val="24"/>
        </w:rPr>
      </w:pPr>
    </w:p>
    <w:p w:rsidR="003E27AE" w:rsidRDefault="003E27AE">
      <w:pPr>
        <w:spacing w:after="200" w:line="276" w:lineRule="auto"/>
        <w:rPr>
          <w:rFonts w:cs="Arial"/>
          <w:bCs/>
          <w:sz w:val="24"/>
          <w:szCs w:val="24"/>
        </w:rPr>
      </w:pPr>
      <w:r>
        <w:rPr>
          <w:b/>
          <w:sz w:val="24"/>
        </w:rPr>
        <w:br w:type="page"/>
      </w:r>
    </w:p>
    <w:p w:rsidR="003E27AE" w:rsidRDefault="003E27AE" w:rsidP="003E27AE">
      <w:pPr>
        <w:pStyle w:val="Ttulo"/>
        <w:tabs>
          <w:tab w:val="left" w:pos="8105"/>
        </w:tabs>
        <w:jc w:val="both"/>
        <w:rPr>
          <w:b w:val="0"/>
          <w:sz w:val="24"/>
        </w:rPr>
      </w:pPr>
    </w:p>
    <w:p w:rsidR="00077F1E" w:rsidRDefault="00077F1E" w:rsidP="003E27AE">
      <w:pPr>
        <w:pStyle w:val="Ttulo"/>
        <w:tabs>
          <w:tab w:val="left" w:pos="8105"/>
        </w:tabs>
        <w:jc w:val="both"/>
        <w:rPr>
          <w:b w:val="0"/>
          <w:sz w:val="22"/>
          <w:szCs w:val="22"/>
        </w:rPr>
      </w:pPr>
      <w:r w:rsidRPr="003E27AE">
        <w:rPr>
          <w:b w:val="0"/>
          <w:sz w:val="22"/>
          <w:szCs w:val="22"/>
        </w:rPr>
        <w:t xml:space="preserve">La Ley de Enjuiciamiento Civil regula en el artículo 342 el llamamiento al perito designado, la aceptación y su nombramiento. </w:t>
      </w:r>
      <w:r w:rsidR="00D70AAD" w:rsidRPr="003E27AE">
        <w:rPr>
          <w:b w:val="0"/>
          <w:sz w:val="22"/>
          <w:szCs w:val="22"/>
        </w:rPr>
        <w:t>Provisión de fondos.</w:t>
      </w:r>
    </w:p>
    <w:p w:rsidR="003E27AE" w:rsidRDefault="003E27AE" w:rsidP="003E27AE">
      <w:pPr>
        <w:pStyle w:val="Ttulo"/>
        <w:tabs>
          <w:tab w:val="left" w:pos="8105"/>
        </w:tabs>
        <w:jc w:val="both"/>
        <w:rPr>
          <w:b w:val="0"/>
          <w:sz w:val="22"/>
          <w:szCs w:val="22"/>
        </w:rPr>
      </w:pPr>
    </w:p>
    <w:p w:rsidR="003E27AE" w:rsidRDefault="003E27AE" w:rsidP="003E27AE">
      <w:pPr>
        <w:pStyle w:val="Ttulo"/>
        <w:tabs>
          <w:tab w:val="left" w:pos="8105"/>
        </w:tabs>
        <w:jc w:val="both"/>
        <w:rPr>
          <w:b w:val="0"/>
          <w:sz w:val="22"/>
          <w:szCs w:val="22"/>
        </w:rPr>
      </w:pPr>
    </w:p>
    <w:p w:rsidR="003E27AE" w:rsidRDefault="00D70AAD" w:rsidP="003E27AE">
      <w:pPr>
        <w:shd w:val="clear" w:color="auto" w:fill="FFFFFF"/>
        <w:jc w:val="both"/>
        <w:rPr>
          <w:rFonts w:cs="Arial"/>
          <w:b/>
          <w:bCs/>
          <w:color w:val="4C6F99"/>
          <w:sz w:val="22"/>
          <w:szCs w:val="22"/>
        </w:rPr>
      </w:pPr>
      <w:r w:rsidRPr="003E27AE">
        <w:rPr>
          <w:rFonts w:cs="Arial"/>
          <w:b/>
          <w:bCs/>
          <w:color w:val="4C6F99"/>
          <w:sz w:val="22"/>
          <w:szCs w:val="22"/>
        </w:rPr>
        <w:t>Artículo 342 Llamamiento al perito designado, aceptación y nombramiento. Provisión de fondos</w:t>
      </w:r>
    </w:p>
    <w:p w:rsidR="003E27AE" w:rsidRDefault="003E27AE" w:rsidP="003E27AE">
      <w:pPr>
        <w:shd w:val="clear" w:color="auto" w:fill="FFFFFF"/>
        <w:jc w:val="both"/>
        <w:rPr>
          <w:rFonts w:cs="Arial"/>
          <w:b/>
          <w:bCs/>
          <w:color w:val="4C6F99"/>
          <w:sz w:val="22"/>
          <w:szCs w:val="22"/>
        </w:rPr>
      </w:pPr>
    </w:p>
    <w:p w:rsidR="00D70AAD" w:rsidRPr="003E27AE" w:rsidRDefault="00D70AAD" w:rsidP="003E27AE">
      <w:pPr>
        <w:shd w:val="clear" w:color="auto" w:fill="FFFFFF"/>
        <w:jc w:val="both"/>
        <w:rPr>
          <w:rFonts w:cs="Arial"/>
          <w:color w:val="222222"/>
          <w:sz w:val="22"/>
          <w:szCs w:val="22"/>
        </w:rPr>
      </w:pPr>
      <w:r w:rsidRPr="003E27AE">
        <w:rPr>
          <w:rFonts w:cs="Arial"/>
          <w:b/>
          <w:bCs/>
          <w:color w:val="222222"/>
          <w:sz w:val="22"/>
          <w:szCs w:val="22"/>
        </w:rPr>
        <w:t>1.</w:t>
      </w:r>
      <w:r w:rsidRPr="003E27AE">
        <w:rPr>
          <w:rFonts w:cs="Arial"/>
          <w:color w:val="222222"/>
          <w:sz w:val="22"/>
          <w:szCs w:val="22"/>
        </w:rPr>
        <w:t xml:space="preserve"> En el mismo día o siguiente día hábil a la designación, el Secretario judicial comunicará ésta al perito titular, requiriéndole para que en el plazo de dos días manifieste si acepta el cargo. En caso afirmativo, se efectuará el nombramiento y el perito hará, en la forma en que se disponga, la manifestación bajo juramento o promesa que ordena el apartado 2 del artículo 335.</w:t>
      </w:r>
    </w:p>
    <w:p w:rsidR="003E27AE" w:rsidRDefault="003E27AE" w:rsidP="003E27AE">
      <w:pPr>
        <w:shd w:val="clear" w:color="auto" w:fill="FFFFFF"/>
        <w:jc w:val="both"/>
        <w:rPr>
          <w:rFonts w:cs="Arial"/>
          <w:b/>
          <w:bCs/>
          <w:color w:val="222222"/>
          <w:sz w:val="22"/>
          <w:szCs w:val="22"/>
        </w:rPr>
      </w:pPr>
    </w:p>
    <w:p w:rsidR="00D70AAD" w:rsidRPr="003E27AE" w:rsidRDefault="00D70AAD" w:rsidP="003E27AE">
      <w:pPr>
        <w:shd w:val="clear" w:color="auto" w:fill="FFFFFF"/>
        <w:jc w:val="both"/>
        <w:rPr>
          <w:rFonts w:cs="Arial"/>
          <w:color w:val="222222"/>
          <w:sz w:val="22"/>
          <w:szCs w:val="22"/>
        </w:rPr>
      </w:pPr>
      <w:r w:rsidRPr="003E27AE">
        <w:rPr>
          <w:rFonts w:cs="Arial"/>
          <w:b/>
          <w:bCs/>
          <w:color w:val="222222"/>
          <w:sz w:val="22"/>
          <w:szCs w:val="22"/>
        </w:rPr>
        <w:t>2.</w:t>
      </w:r>
      <w:r w:rsidRPr="003E27AE">
        <w:rPr>
          <w:rFonts w:cs="Arial"/>
          <w:color w:val="222222"/>
          <w:sz w:val="22"/>
          <w:szCs w:val="22"/>
        </w:rPr>
        <w:t xml:space="preserve"> Si el perito designado adujere justa causa que le impidiere la aceptación, y el Secretario judicial la considerare suficiente, será sustituido por el siguiente de la lista, y así sucesivamente, hasta que se pudiere efectuar el nombramiento.</w:t>
      </w:r>
    </w:p>
    <w:p w:rsidR="003E27AE" w:rsidRDefault="003E27AE" w:rsidP="003E27AE">
      <w:pPr>
        <w:shd w:val="clear" w:color="auto" w:fill="FFFFFF"/>
        <w:jc w:val="both"/>
        <w:rPr>
          <w:rFonts w:cs="Arial"/>
          <w:b/>
          <w:bCs/>
          <w:color w:val="222222"/>
          <w:sz w:val="22"/>
          <w:szCs w:val="22"/>
          <w:u w:val="single"/>
        </w:rPr>
      </w:pPr>
    </w:p>
    <w:p w:rsidR="00D70AAD" w:rsidRPr="003E27AE" w:rsidRDefault="00D70AAD" w:rsidP="003E27AE">
      <w:pPr>
        <w:shd w:val="clear" w:color="auto" w:fill="FFFFFF"/>
        <w:jc w:val="both"/>
        <w:rPr>
          <w:rFonts w:cs="Arial"/>
          <w:color w:val="222222"/>
          <w:sz w:val="22"/>
          <w:szCs w:val="22"/>
          <w:u w:val="single"/>
        </w:rPr>
      </w:pPr>
      <w:r w:rsidRPr="003E27AE">
        <w:rPr>
          <w:rFonts w:cs="Arial"/>
          <w:b/>
          <w:bCs/>
          <w:color w:val="222222"/>
          <w:sz w:val="22"/>
          <w:szCs w:val="22"/>
          <w:u w:val="single"/>
        </w:rPr>
        <w:t>3.</w:t>
      </w:r>
      <w:r w:rsidRPr="003E27AE">
        <w:rPr>
          <w:rFonts w:cs="Arial"/>
          <w:color w:val="222222"/>
          <w:sz w:val="22"/>
          <w:szCs w:val="22"/>
          <w:u w:val="single"/>
        </w:rPr>
        <w:t xml:space="preserve"> El perito designado podrá solicitar, en los tres días siguientes a su nombramiento, la provisión de fondos que considere necesaria, que será a cuenta de la liquidación final. El Secretario judicial, mediante decreto, decidirá sobre la provisión solicitada y ordenará a la parte o partes que hubiesen propuesto la prueba pericial y no tuviesen derecho a la asistencia jurídica gratuita, que procedan a abonar la cantidad fijada en la Cuenta de Depósitos y Consignaciones del Tribunal, en el plazo de cinco días.</w:t>
      </w:r>
    </w:p>
    <w:p w:rsidR="003E27AE" w:rsidRDefault="003E27AE" w:rsidP="003E27AE">
      <w:pPr>
        <w:shd w:val="clear" w:color="auto" w:fill="FFFFFF"/>
        <w:jc w:val="both"/>
        <w:rPr>
          <w:rFonts w:cs="Arial"/>
          <w:color w:val="222222"/>
          <w:sz w:val="22"/>
          <w:szCs w:val="22"/>
          <w:u w:val="single"/>
        </w:rPr>
      </w:pPr>
    </w:p>
    <w:p w:rsidR="00D70AAD" w:rsidRPr="003E27AE" w:rsidRDefault="00D70AAD" w:rsidP="003E27AE">
      <w:pPr>
        <w:shd w:val="clear" w:color="auto" w:fill="FFFFFF"/>
        <w:jc w:val="both"/>
        <w:rPr>
          <w:rFonts w:cs="Arial"/>
          <w:color w:val="222222"/>
          <w:sz w:val="22"/>
          <w:szCs w:val="22"/>
          <w:u w:val="single"/>
        </w:rPr>
      </w:pPr>
      <w:r w:rsidRPr="003E27AE">
        <w:rPr>
          <w:rFonts w:cs="Arial"/>
          <w:color w:val="222222"/>
          <w:sz w:val="22"/>
          <w:szCs w:val="22"/>
          <w:u w:val="single"/>
        </w:rPr>
        <w:t>Transcurrido dicho plazo, si no se hubiere depositado la cantidad establecida, el perito quedará eximido de emitir el dictamen, sin que pueda procederse a una nueva designación.</w:t>
      </w:r>
    </w:p>
    <w:p w:rsidR="003E27AE" w:rsidRDefault="003E27AE" w:rsidP="003E27AE">
      <w:pPr>
        <w:shd w:val="clear" w:color="auto" w:fill="FFFFFF"/>
        <w:jc w:val="both"/>
        <w:rPr>
          <w:rFonts w:cs="Arial"/>
          <w:color w:val="222222"/>
          <w:sz w:val="22"/>
          <w:szCs w:val="22"/>
          <w:u w:val="single"/>
        </w:rPr>
      </w:pPr>
    </w:p>
    <w:p w:rsidR="00D70AAD" w:rsidRPr="003E27AE" w:rsidRDefault="00D70AAD" w:rsidP="003E27AE">
      <w:pPr>
        <w:shd w:val="clear" w:color="auto" w:fill="FFFFFF"/>
        <w:jc w:val="both"/>
        <w:rPr>
          <w:rFonts w:cs="Arial"/>
          <w:color w:val="222222"/>
          <w:sz w:val="22"/>
          <w:szCs w:val="22"/>
          <w:u w:val="single"/>
        </w:rPr>
      </w:pPr>
      <w:r w:rsidRPr="003E27AE">
        <w:rPr>
          <w:rFonts w:cs="Arial"/>
          <w:color w:val="222222"/>
          <w:sz w:val="22"/>
          <w:szCs w:val="22"/>
          <w:u w:val="single"/>
        </w:rPr>
        <w:t>Cuando el perito designado lo hubiese sido de común acuerdo, y uno de los litigantes no realizare la parte de la consignación que le correspondiere, el Secretario judicial ofrecerá al otro litigante la posibilidad de completar la cantidad que faltare, indicando en tal caso los puntos sobre los que deba pronunciarse el dictamen, o de recuperar la cantidad depositada, en cuyo caso se aplicará lo dispuesto en el párrafo anterior.</w:t>
      </w:r>
    </w:p>
    <w:p w:rsidR="003E27AE" w:rsidRDefault="003E27AE" w:rsidP="003E27AE">
      <w:pPr>
        <w:rPr>
          <w:rFonts w:cs="Arial"/>
          <w:b/>
          <w:bCs/>
          <w:i/>
          <w:iCs/>
          <w:noProof/>
          <w:color w:val="4C6F99"/>
          <w:sz w:val="22"/>
          <w:szCs w:val="22"/>
        </w:rPr>
      </w:pPr>
    </w:p>
    <w:p w:rsidR="00D70AAD" w:rsidRDefault="003E27AE" w:rsidP="003E27AE">
      <w:pPr>
        <w:rPr>
          <w:rFonts w:cs="Arial"/>
          <w:i/>
          <w:iCs/>
          <w:color w:val="4C6F99"/>
          <w:sz w:val="22"/>
          <w:szCs w:val="22"/>
        </w:rPr>
      </w:pPr>
      <w:hyperlink r:id="rId6" w:anchor="I613" w:tooltip="&quot;Ir a Norma modificadora&quot; " w:history="1">
        <w:r w:rsidRPr="003E27AE">
          <w:rPr>
            <w:rFonts w:cs="Arial"/>
            <w:b/>
            <w:i/>
            <w:noProof/>
            <w:color w:val="4C6F99"/>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noticias.juridicas.com/bitmaps/sp.gif" href="http://noticias.juridicas.com/base_datos/Admin/l13-2009.html#I613" title="&quot;Ir a Norma modificadora&quot;" style="width:.75pt;height:.75pt;visibility:visible;mso-wrap-style:square" o:button="t">
              <v:fill o:detectmouseclick="t"/>
              <v:imagedata r:id="rId7" o:title="sp"/>
            </v:shape>
          </w:pict>
        </w:r>
      </w:hyperlink>
      <w:r w:rsidR="00D70AAD" w:rsidRPr="003E27AE">
        <w:rPr>
          <w:rFonts w:cs="Arial"/>
          <w:color w:val="4C6F99"/>
          <w:sz w:val="22"/>
          <w:szCs w:val="22"/>
        </w:rPr>
        <w:t>Artículo 342 redactado por el apartado ciento sesenta y dos del artículo decimoquinto de la Ley 13/2009, de 3 de noviembre, de reforma de la legislación procesal para la implantación de la nueva Oficina judicial («B.O.E.» 4 noviembre</w:t>
      </w:r>
      <w:proofErr w:type="gramStart"/>
      <w:r w:rsidR="00D70AAD" w:rsidRPr="003E27AE">
        <w:rPr>
          <w:rFonts w:cs="Arial"/>
          <w:color w:val="4C6F99"/>
          <w:sz w:val="22"/>
          <w:szCs w:val="22"/>
        </w:rPr>
        <w:t>).</w:t>
      </w:r>
      <w:r w:rsidR="00D70AAD" w:rsidRPr="003E27AE">
        <w:rPr>
          <w:rFonts w:cs="Arial"/>
          <w:i/>
          <w:iCs/>
          <w:color w:val="4C6F99"/>
          <w:sz w:val="22"/>
          <w:szCs w:val="22"/>
        </w:rPr>
        <w:t>Vigencia</w:t>
      </w:r>
      <w:proofErr w:type="gramEnd"/>
      <w:r w:rsidR="00D70AAD" w:rsidRPr="003E27AE">
        <w:rPr>
          <w:rFonts w:cs="Arial"/>
          <w:i/>
          <w:iCs/>
          <w:color w:val="4C6F99"/>
          <w:sz w:val="22"/>
          <w:szCs w:val="22"/>
        </w:rPr>
        <w:t>: 4 mayo 2010</w:t>
      </w:r>
    </w:p>
    <w:p w:rsidR="003E27AE" w:rsidRDefault="003E27AE" w:rsidP="003E27AE">
      <w:pPr>
        <w:rPr>
          <w:rFonts w:cs="Arial"/>
          <w:i/>
          <w:iCs/>
          <w:color w:val="4C6F99"/>
          <w:sz w:val="22"/>
          <w:szCs w:val="22"/>
        </w:rPr>
      </w:pPr>
    </w:p>
    <w:sectPr w:rsidR="003E27AE" w:rsidSect="00FC298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77" w:rsidRDefault="00BD7A77" w:rsidP="003E27AE">
      <w:r>
        <w:separator/>
      </w:r>
    </w:p>
  </w:endnote>
  <w:endnote w:type="continuationSeparator" w:id="0">
    <w:p w:rsidR="00BD7A77" w:rsidRDefault="00BD7A77" w:rsidP="003E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77" w:rsidRDefault="00BD7A77" w:rsidP="003E27AE">
      <w:r>
        <w:separator/>
      </w:r>
    </w:p>
  </w:footnote>
  <w:footnote w:type="continuationSeparator" w:id="0">
    <w:p w:rsidR="00BD7A77" w:rsidRDefault="00BD7A77" w:rsidP="003E2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AE" w:rsidRDefault="003E27AE">
    <w:pPr>
      <w:pStyle w:val="Encabezado"/>
    </w:pPr>
    <w:r>
      <w:rPr>
        <w:noProof/>
      </w:rPr>
      <w:drawing>
        <wp:inline distT="0" distB="0" distL="0" distR="0" wp14:anchorId="4CAC09A8" wp14:editId="7EFB50D0">
          <wp:extent cx="5400040" cy="1787535"/>
          <wp:effectExtent l="0" t="0" r="0" b="0"/>
          <wp:docPr id="2" name="Imagen 2" descr="ANTPM ENCABEZADO CARTA ESTR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NTPM ENCABEZADO CARTA ESTR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787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7F1E"/>
    <w:rsid w:val="00077F1E"/>
    <w:rsid w:val="003E27AE"/>
    <w:rsid w:val="00513107"/>
    <w:rsid w:val="00773A7D"/>
    <w:rsid w:val="00A41253"/>
    <w:rsid w:val="00BD7A77"/>
    <w:rsid w:val="00D70AAD"/>
    <w:rsid w:val="00FC2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B27C"/>
  <w15:docId w15:val="{A97CB8A3-80A7-4E7C-935C-8780D0CD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1E"/>
    <w:pPr>
      <w:spacing w:after="0" w:line="240" w:lineRule="auto"/>
    </w:pPr>
    <w:rPr>
      <w:rFonts w:ascii="Arial" w:eastAsia="Times New Roman" w:hAnsi="Arial"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77F1E"/>
    <w:pPr>
      <w:jc w:val="center"/>
    </w:pPr>
    <w:rPr>
      <w:rFonts w:cs="Arial"/>
      <w:b/>
      <w:bCs/>
      <w:sz w:val="28"/>
      <w:szCs w:val="24"/>
    </w:rPr>
  </w:style>
  <w:style w:type="character" w:customStyle="1" w:styleId="TtuloCar">
    <w:name w:val="Título Car"/>
    <w:basedOn w:val="Fuentedeprrafopredeter"/>
    <w:link w:val="Ttulo"/>
    <w:rsid w:val="00077F1E"/>
    <w:rPr>
      <w:rFonts w:ascii="Arial" w:eastAsia="Times New Roman" w:hAnsi="Arial" w:cs="Arial"/>
      <w:b/>
      <w:bCs/>
      <w:sz w:val="28"/>
      <w:szCs w:val="24"/>
      <w:lang w:eastAsia="es-ES"/>
    </w:rPr>
  </w:style>
  <w:style w:type="paragraph" w:styleId="Textodeglobo">
    <w:name w:val="Balloon Text"/>
    <w:basedOn w:val="Normal"/>
    <w:link w:val="TextodegloboCar"/>
    <w:uiPriority w:val="99"/>
    <w:semiHidden/>
    <w:unhideWhenUsed/>
    <w:rsid w:val="00D70AAD"/>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AAD"/>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3E27AE"/>
    <w:pPr>
      <w:tabs>
        <w:tab w:val="center" w:pos="4252"/>
        <w:tab w:val="right" w:pos="8504"/>
      </w:tabs>
    </w:pPr>
  </w:style>
  <w:style w:type="character" w:customStyle="1" w:styleId="EncabezadoCar">
    <w:name w:val="Encabezado Car"/>
    <w:basedOn w:val="Fuentedeprrafopredeter"/>
    <w:link w:val="Encabezado"/>
    <w:uiPriority w:val="99"/>
    <w:rsid w:val="003E27AE"/>
    <w:rPr>
      <w:rFonts w:ascii="Arial" w:eastAsia="Times New Roman" w:hAnsi="Arial" w:cs="Times New Roman"/>
      <w:sz w:val="26"/>
      <w:szCs w:val="20"/>
      <w:lang w:eastAsia="es-ES"/>
    </w:rPr>
  </w:style>
  <w:style w:type="paragraph" w:styleId="Piedepgina">
    <w:name w:val="footer"/>
    <w:basedOn w:val="Normal"/>
    <w:link w:val="PiedepginaCar"/>
    <w:uiPriority w:val="99"/>
    <w:unhideWhenUsed/>
    <w:rsid w:val="003E27AE"/>
    <w:pPr>
      <w:tabs>
        <w:tab w:val="center" w:pos="4252"/>
        <w:tab w:val="right" w:pos="8504"/>
      </w:tabs>
    </w:pPr>
  </w:style>
  <w:style w:type="character" w:customStyle="1" w:styleId="PiedepginaCar">
    <w:name w:val="Pie de página Car"/>
    <w:basedOn w:val="Fuentedeprrafopredeter"/>
    <w:link w:val="Piedepgina"/>
    <w:uiPriority w:val="99"/>
    <w:rsid w:val="003E27AE"/>
    <w:rPr>
      <w:rFonts w:ascii="Arial" w:eastAsia="Times New Roman" w:hAnsi="Arial"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icias.juridicas.com/base_datos/Admin/l13-200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Asociación Nacional</cp:lastModifiedBy>
  <cp:revision>2</cp:revision>
  <dcterms:created xsi:type="dcterms:W3CDTF">2019-04-03T14:19:00Z</dcterms:created>
  <dcterms:modified xsi:type="dcterms:W3CDTF">2019-04-03T14:19:00Z</dcterms:modified>
</cp:coreProperties>
</file>